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2C84C" w14:textId="77777777" w:rsidR="00307205" w:rsidRPr="00307205" w:rsidRDefault="00307205" w:rsidP="00307205">
      <w:pPr>
        <w:pStyle w:val="isselectedend"/>
        <w:jc w:val="center"/>
        <w:rPr>
          <w:b/>
          <w:bCs/>
        </w:rPr>
      </w:pPr>
      <w:r w:rsidRPr="00307205">
        <w:rPr>
          <w:b/>
          <w:bCs/>
        </w:rPr>
        <w:t>Notice of Exempt Solicitation Pursuant to Rule 14a-103</w:t>
      </w:r>
    </w:p>
    <w:p w14:paraId="6D2AF40F" w14:textId="2827FF44" w:rsidR="00307205" w:rsidRPr="00307205" w:rsidRDefault="00307205" w:rsidP="00307205">
      <w:pPr>
        <w:pStyle w:val="isselectedend"/>
        <w:rPr>
          <w:sz w:val="22"/>
          <w:szCs w:val="22"/>
        </w:rPr>
      </w:pPr>
      <w:r w:rsidRPr="00307205">
        <w:rPr>
          <w:sz w:val="22"/>
          <w:szCs w:val="22"/>
        </w:rPr>
        <w:t>Registrant: Columbia Sportswear Company (COLM)</w:t>
      </w:r>
      <w:r w:rsidRPr="00307205">
        <w:rPr>
          <w:sz w:val="22"/>
          <w:szCs w:val="22"/>
        </w:rPr>
        <w:br/>
        <w:t>Annual Meeting: June 10, 2026, 3:00 PM Pacific Time</w:t>
      </w:r>
      <w:r w:rsidRPr="00307205">
        <w:rPr>
          <w:sz w:val="22"/>
          <w:szCs w:val="22"/>
        </w:rPr>
        <w:br/>
        <w:t>Person relying on exemption: Myra K. Young, Columbia Sportswear shareholder since 2015</w:t>
      </w:r>
      <w:r w:rsidRPr="00307205">
        <w:rPr>
          <w:sz w:val="22"/>
          <w:szCs w:val="22"/>
        </w:rPr>
        <w:br/>
        <w:t xml:space="preserve">Contact: </w:t>
      </w:r>
      <w:r w:rsidRPr="00307205">
        <w:rPr>
          <w:rStyle w:val="text-token-text-primary"/>
          <w:sz w:val="22"/>
          <w:szCs w:val="22"/>
        </w:rPr>
        <w:t>[</w:t>
      </w:r>
      <w:r w:rsidRPr="00307205">
        <w:rPr>
          <w:rStyle w:val="text-token-text-primary"/>
          <w:sz w:val="22"/>
          <w:szCs w:val="22"/>
        </w:rPr>
        <w:t>jm@corpov.net</w:t>
      </w:r>
      <w:r w:rsidRPr="00307205">
        <w:rPr>
          <w:rStyle w:val="text-token-text-primary"/>
          <w:sz w:val="22"/>
          <w:szCs w:val="22"/>
        </w:rPr>
        <w:t>]</w:t>
      </w:r>
    </w:p>
    <w:p w14:paraId="23E1C53C" w14:textId="77777777" w:rsidR="00307205" w:rsidRPr="00307205" w:rsidRDefault="00307205" w:rsidP="00307205">
      <w:pPr>
        <w:pStyle w:val="isselectedend"/>
        <w:rPr>
          <w:sz w:val="22"/>
          <w:szCs w:val="22"/>
        </w:rPr>
      </w:pPr>
      <w:r w:rsidRPr="00307205">
        <w:rPr>
          <w:sz w:val="22"/>
          <w:szCs w:val="22"/>
        </w:rPr>
        <w:t>These written materials are submitted pursuant to Rule 14a-6(g)(1) promulgated under the Securities Exchange Act of 1934. Myra K. Young does not beneficially own more than $5 million of the class of subject securities, and this notice of exempt solicitation is therefore being provided on a voluntary basis. This is not a solicitation of authority to vote your proxy. Please DO NOT send me your proxy card; the shareholder is not able to vote your proxies, nor does this communication contemplate such an event. The shareholder asks all shareholders to vote in accordance with the procedural instructions provided in the proxy materials.</w:t>
      </w:r>
    </w:p>
    <w:p w14:paraId="275843EC" w14:textId="77777777" w:rsidR="00307205" w:rsidRDefault="00307205" w:rsidP="00307205">
      <w:pPr>
        <w:pStyle w:val="isselectedend"/>
      </w:pPr>
      <w:r>
        <w:t>This exempt solicitation is made by Myra K. Young, beneficial owner of shares of Columbia Sportswear Company (“Columbia” or the “Company”), in support of Proposal 5, requesting adoption of proxy access. Shareholders are urged to vote FOR Proposal 5.</w:t>
      </w:r>
    </w:p>
    <w:p w14:paraId="2A9002BC" w14:textId="50CBDC6B" w:rsidR="00307205" w:rsidRDefault="00307205" w:rsidP="00307205">
      <w:pPr>
        <w:pStyle w:val="isselectedend"/>
      </w:pPr>
      <w:r w:rsidRPr="00691B61">
        <w:rPr>
          <w:rFonts w:ascii="Arial" w:eastAsia="Cambria" w:hAnsi="Arial" w:cs="Arial"/>
          <w:bCs/>
          <w:noProof/>
          <w:color w:val="000000" w:themeColor="text1"/>
        </w:rPr>
        <w:drawing>
          <wp:inline distT="0" distB="0" distL="0" distR="0" wp14:anchorId="37D3CC17" wp14:editId="49C4AA45">
            <wp:extent cx="5943600" cy="1188720"/>
            <wp:effectExtent l="0" t="0" r="0" b="5080"/>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943600" cy="1188720"/>
                    </a:xfrm>
                    <a:prstGeom prst="rect">
                      <a:avLst/>
                    </a:prstGeom>
                  </pic:spPr>
                </pic:pic>
              </a:graphicData>
            </a:graphic>
          </wp:inline>
        </w:drawing>
      </w:r>
    </w:p>
    <w:p w14:paraId="00328643" w14:textId="77777777" w:rsidR="00307205" w:rsidRPr="00307205" w:rsidRDefault="00307205" w:rsidP="00307205">
      <w:pPr>
        <w:pStyle w:val="isselectedend"/>
        <w:rPr>
          <w:b/>
          <w:bCs/>
        </w:rPr>
      </w:pPr>
      <w:r w:rsidRPr="00307205">
        <w:rPr>
          <w:b/>
          <w:bCs/>
        </w:rPr>
        <w:t>Columbia Sportswear Company — Vote FOR Proposal 5 — Proxy Access</w:t>
      </w:r>
    </w:p>
    <w:p w14:paraId="2D555D6E" w14:textId="77777777" w:rsidR="00307205" w:rsidRDefault="00307205" w:rsidP="00307205">
      <w:pPr>
        <w:pStyle w:val="isselectedend"/>
      </w:pPr>
      <w:r>
        <w:t>RESOLVED: Shareholders request that the Board adopt a proxy access bylaw permitting substantial long-term shareholders to include director nominees in the Company’s proxy materials, subject to reasonable eligibility requirements and safeguards.</w:t>
      </w:r>
    </w:p>
    <w:p w14:paraId="3EEE1B6E" w14:textId="77777777" w:rsidR="00307205" w:rsidRDefault="00307205" w:rsidP="00307205">
      <w:pPr>
        <w:pStyle w:val="isselectedend"/>
      </w:pPr>
      <w:r>
        <w:t>Proxy access is now a mainstream corporate governance practice among major U.S. public companies because it provides shareholders with a practical and orderly mechanism to nominate a limited number of directors on the company’s proxy card. Proxy access is not about taking control of the Company. It is about accountability, responsiveness, and constructive engagement between boards and long-term shareholders.</w:t>
      </w:r>
    </w:p>
    <w:p w14:paraId="4F9F245A" w14:textId="77777777" w:rsidR="00307205" w:rsidRPr="00307205" w:rsidRDefault="00307205" w:rsidP="00307205">
      <w:pPr>
        <w:pStyle w:val="isselectedend"/>
        <w:rPr>
          <w:b/>
          <w:bCs/>
        </w:rPr>
      </w:pPr>
      <w:r w:rsidRPr="00307205">
        <w:rPr>
          <w:b/>
          <w:bCs/>
        </w:rPr>
        <w:t>Why Proxy Access Matters at Columbia</w:t>
      </w:r>
    </w:p>
    <w:p w14:paraId="27425EEC" w14:textId="77777777" w:rsidR="00307205" w:rsidRDefault="00307205" w:rsidP="00307205">
      <w:pPr>
        <w:pStyle w:val="isselectedend"/>
      </w:pPr>
      <w:r>
        <w:t>Columbia has many experienced and accomplished directors. However, several directors have served for very long periods, some for decades. The Company also expressly rejects mandatory retirement ages and director term limits. At the same time, the Company is navigating succession planning involving members of the Boyle family.</w:t>
      </w:r>
    </w:p>
    <w:p w14:paraId="38404F7D" w14:textId="77777777" w:rsidR="00307205" w:rsidRDefault="00307205" w:rsidP="00307205">
      <w:pPr>
        <w:pStyle w:val="isselectedend"/>
      </w:pPr>
      <w:r>
        <w:t>These facts do not mean the Board is ineffective. But they do support providing shareholders with a reasonable mechanism to introduce additional perspectives if shareholders believe board refreshment or additional expertise would benefit the Company over time.</w:t>
      </w:r>
    </w:p>
    <w:p w14:paraId="16363A64" w14:textId="77777777" w:rsidR="00307205" w:rsidRDefault="00307205" w:rsidP="00307205">
      <w:pPr>
        <w:pStyle w:val="isselectedend"/>
      </w:pPr>
      <w:r>
        <w:t xml:space="preserve">Proxy access provides a balanced alternative to costly and disruptive proxy contests. Without proxy access, shareholders seeking even limited board change must undertake expensive separate </w:t>
      </w:r>
      <w:r>
        <w:lastRenderedPageBreak/>
        <w:t>solicitations that can become adversarial and divisive. Proxy access instead creates a measured accountability mechanism by allowing long-term shareholders to place a limited number of nominees on the Company’s own proxy card for all shareholders to evaluate.</w:t>
      </w:r>
    </w:p>
    <w:p w14:paraId="396AC8D9" w14:textId="77777777" w:rsidR="00307205" w:rsidRPr="003D5F72" w:rsidRDefault="00307205" w:rsidP="00307205">
      <w:pPr>
        <w:pStyle w:val="isselectedend"/>
        <w:rPr>
          <w:b/>
          <w:bCs/>
        </w:rPr>
      </w:pPr>
      <w:r w:rsidRPr="003D5F72">
        <w:rPr>
          <w:b/>
          <w:bCs/>
        </w:rPr>
        <w:t>Rebuttal to the Board’s Opposition</w:t>
      </w:r>
    </w:p>
    <w:p w14:paraId="50A8015A" w14:textId="77777777" w:rsidR="00307205" w:rsidRDefault="00307205" w:rsidP="00307205">
      <w:pPr>
        <w:pStyle w:val="isselectedend"/>
      </w:pPr>
      <w:r>
        <w:t>The Board argues that the proposal lacks certain “safeguards” found in the SEC’s vacated proxy access rule. However, Rule 14a-8 shareholder proposals are limited to approximately 500 words and typically establish broad governance principles rather than fully drafted bylaws. The implementation details cited by the Company are routinely addressed during the bylaw drafting process if shareholders approve a proposal.</w:t>
      </w:r>
    </w:p>
    <w:p w14:paraId="5848AF56" w14:textId="77777777" w:rsidR="00307205" w:rsidRDefault="00307205" w:rsidP="00307205">
      <w:pPr>
        <w:pStyle w:val="isselectedend"/>
      </w:pPr>
      <w:r>
        <w:t>The Board also suggests the proposal could create governance risks or permit unqualified nominees. That concern is overstated. Nasdaq independence standards, fiduciary duties, disclosure obligations, and shareholder voting protections would all remain fully applicable. Shareholders—not the proponent—would determine whether any nominee deserves election.</w:t>
      </w:r>
    </w:p>
    <w:p w14:paraId="777B67AE" w14:textId="77777777" w:rsidR="00307205" w:rsidRDefault="00307205" w:rsidP="00307205">
      <w:pPr>
        <w:pStyle w:val="isselectedend"/>
      </w:pPr>
      <w:r>
        <w:t>Importantly, proxy access has become a widely accepted governance right at major public companies. Large institutional investors have historically supported reasonable proxy access frameworks because they enhance accountability while preserving board stability.</w:t>
      </w:r>
    </w:p>
    <w:p w14:paraId="54457E90" w14:textId="77777777" w:rsidR="00307205" w:rsidRPr="003D5F72" w:rsidRDefault="00307205" w:rsidP="00307205">
      <w:pPr>
        <w:pStyle w:val="isselectedend"/>
        <w:rPr>
          <w:b/>
          <w:bCs/>
        </w:rPr>
      </w:pPr>
      <w:r w:rsidRPr="003D5F72">
        <w:rPr>
          <w:b/>
          <w:bCs/>
        </w:rPr>
        <w:t>Conclusion</w:t>
      </w:r>
    </w:p>
    <w:p w14:paraId="09153A00" w14:textId="77777777" w:rsidR="00307205" w:rsidRDefault="00307205" w:rsidP="00307205">
      <w:pPr>
        <w:pStyle w:val="isselectedend"/>
      </w:pPr>
      <w:r>
        <w:t>Proposal 5 does not create instability.</w:t>
      </w:r>
      <w:r>
        <w:br/>
        <w:t>It does not permit a change in control.</w:t>
      </w:r>
      <w:r>
        <w:br/>
        <w:t>It does not replace the Board’s role in governance.</w:t>
      </w:r>
    </w:p>
    <w:p w14:paraId="0E5EC3C1" w14:textId="77777777" w:rsidR="00307205" w:rsidRDefault="00307205" w:rsidP="00307205">
      <w:pPr>
        <w:pStyle w:val="isselectedend"/>
      </w:pPr>
      <w:r>
        <w:t>It simply gives substantial long-term shareholders a practical and less disruptive alternative to a traditional proxy contest.</w:t>
      </w:r>
    </w:p>
    <w:p w14:paraId="64888DF7" w14:textId="77777777" w:rsidR="00307205" w:rsidRDefault="00307205" w:rsidP="00307205">
      <w:pPr>
        <w:pStyle w:val="isselectedend"/>
      </w:pPr>
      <w:r>
        <w:t>Proxy access promotes accountability without confrontation and refreshment without disruption.</w:t>
      </w:r>
    </w:p>
    <w:p w14:paraId="65BB282D" w14:textId="77777777" w:rsidR="00307205" w:rsidRPr="003D5F72" w:rsidRDefault="00307205" w:rsidP="00307205">
      <w:pPr>
        <w:pStyle w:val="NormalWeb"/>
        <w:rPr>
          <w:b/>
          <w:bCs/>
        </w:rPr>
      </w:pPr>
      <w:r w:rsidRPr="003D5F72">
        <w:rPr>
          <w:b/>
          <w:bCs/>
        </w:rPr>
        <w:t>Please vote FOR Proposal 5 — Proxy Access.</w:t>
      </w:r>
    </w:p>
    <w:p w14:paraId="7D8C10A8" w14:textId="77777777" w:rsidR="008E407D" w:rsidRDefault="008E407D"/>
    <w:sectPr w:rsidR="008E407D" w:rsidSect="00307205">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205"/>
    <w:rsid w:val="00137DEC"/>
    <w:rsid w:val="001C04AA"/>
    <w:rsid w:val="00307205"/>
    <w:rsid w:val="003D5F72"/>
    <w:rsid w:val="008E4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E78CA1"/>
  <w15:chartTrackingRefBased/>
  <w15:docId w15:val="{11CF33E9-A333-0C46-8260-2AA054A41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2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2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2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2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72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72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2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2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2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2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2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2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2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72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72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2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2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205"/>
    <w:rPr>
      <w:rFonts w:eastAsiaTheme="majorEastAsia" w:cstheme="majorBidi"/>
      <w:color w:val="272727" w:themeColor="text1" w:themeTint="D8"/>
    </w:rPr>
  </w:style>
  <w:style w:type="paragraph" w:styleId="Title">
    <w:name w:val="Title"/>
    <w:basedOn w:val="Normal"/>
    <w:next w:val="Normal"/>
    <w:link w:val="TitleChar"/>
    <w:uiPriority w:val="10"/>
    <w:qFormat/>
    <w:rsid w:val="003072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2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2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2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205"/>
    <w:pPr>
      <w:spacing w:before="160"/>
      <w:jc w:val="center"/>
    </w:pPr>
    <w:rPr>
      <w:i/>
      <w:iCs/>
      <w:color w:val="404040" w:themeColor="text1" w:themeTint="BF"/>
    </w:rPr>
  </w:style>
  <w:style w:type="character" w:customStyle="1" w:styleId="QuoteChar">
    <w:name w:val="Quote Char"/>
    <w:basedOn w:val="DefaultParagraphFont"/>
    <w:link w:val="Quote"/>
    <w:uiPriority w:val="29"/>
    <w:rsid w:val="00307205"/>
    <w:rPr>
      <w:i/>
      <w:iCs/>
      <w:color w:val="404040" w:themeColor="text1" w:themeTint="BF"/>
    </w:rPr>
  </w:style>
  <w:style w:type="paragraph" w:styleId="ListParagraph">
    <w:name w:val="List Paragraph"/>
    <w:basedOn w:val="Normal"/>
    <w:uiPriority w:val="34"/>
    <w:qFormat/>
    <w:rsid w:val="00307205"/>
    <w:pPr>
      <w:ind w:left="720"/>
      <w:contextualSpacing/>
    </w:pPr>
  </w:style>
  <w:style w:type="character" w:styleId="IntenseEmphasis">
    <w:name w:val="Intense Emphasis"/>
    <w:basedOn w:val="DefaultParagraphFont"/>
    <w:uiPriority w:val="21"/>
    <w:qFormat/>
    <w:rsid w:val="00307205"/>
    <w:rPr>
      <w:i/>
      <w:iCs/>
      <w:color w:val="0F4761" w:themeColor="accent1" w:themeShade="BF"/>
    </w:rPr>
  </w:style>
  <w:style w:type="paragraph" w:styleId="IntenseQuote">
    <w:name w:val="Intense Quote"/>
    <w:basedOn w:val="Normal"/>
    <w:next w:val="Normal"/>
    <w:link w:val="IntenseQuoteChar"/>
    <w:uiPriority w:val="30"/>
    <w:qFormat/>
    <w:rsid w:val="003072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205"/>
    <w:rPr>
      <w:i/>
      <w:iCs/>
      <w:color w:val="0F4761" w:themeColor="accent1" w:themeShade="BF"/>
    </w:rPr>
  </w:style>
  <w:style w:type="character" w:styleId="IntenseReference">
    <w:name w:val="Intense Reference"/>
    <w:basedOn w:val="DefaultParagraphFont"/>
    <w:uiPriority w:val="32"/>
    <w:qFormat/>
    <w:rsid w:val="00307205"/>
    <w:rPr>
      <w:b/>
      <w:bCs/>
      <w:smallCaps/>
      <w:color w:val="0F4761" w:themeColor="accent1" w:themeShade="BF"/>
      <w:spacing w:val="5"/>
    </w:rPr>
  </w:style>
  <w:style w:type="paragraph" w:customStyle="1" w:styleId="isselectedend">
    <w:name w:val="isselectedend"/>
    <w:basedOn w:val="Normal"/>
    <w:rsid w:val="0030720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token-text-primary">
    <w:name w:val="text-token-text-primary"/>
    <w:basedOn w:val="DefaultParagraphFont"/>
    <w:rsid w:val="00307205"/>
  </w:style>
  <w:style w:type="paragraph" w:styleId="NormalWeb">
    <w:name w:val="Normal (Web)"/>
    <w:basedOn w:val="Normal"/>
    <w:uiPriority w:val="99"/>
    <w:semiHidden/>
    <w:unhideWhenUsed/>
    <w:rsid w:val="0030720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McRitchie</dc:creator>
  <cp:keywords/>
  <dc:description/>
  <cp:lastModifiedBy>James McRitchie</cp:lastModifiedBy>
  <cp:revision>1</cp:revision>
  <dcterms:created xsi:type="dcterms:W3CDTF">2026-05-27T15:34:00Z</dcterms:created>
  <dcterms:modified xsi:type="dcterms:W3CDTF">2026-05-27T15:46:00Z</dcterms:modified>
</cp:coreProperties>
</file>